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95243A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265A55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G</w:t>
            </w:r>
            <w:r w:rsidRPr="005414CF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081269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8</w:t>
            </w:r>
            <w:r w:rsidR="00081269" w:rsidRPr="00081269">
              <w:rPr>
                <w:rFonts w:ascii="Leelawadee" w:eastAsia="Microsoft JhengHei" w:hAnsi="Leelawadee" w:cs="Leelawadee"/>
                <w:color w:val="990033"/>
                <w:sz w:val="32"/>
                <w:szCs w:val="21"/>
                <w:lang w:val="en-US"/>
              </w:rPr>
              <w:t>Filter</w:t>
            </w:r>
            <w:r w:rsidR="00D3709D">
              <w:rPr>
                <w:rFonts w:ascii="Leelawadee" w:eastAsia="Microsoft JhengHei" w:hAnsi="Leelawadee" w:cs="Leelawadee"/>
                <w:color w:val="990033"/>
                <w:sz w:val="32"/>
                <w:szCs w:val="21"/>
                <w:lang w:val="en-US"/>
              </w:rPr>
              <w:t>-</w:t>
            </w:r>
            <w:r w:rsidR="00D3709D" w:rsidRPr="00D3709D">
              <w:rPr>
                <w:rFonts w:ascii="Leelawadee" w:eastAsia="Microsoft JhengHei" w:hAnsi="Leelawadee" w:cs="Leelawadee"/>
                <w:b/>
                <w:color w:val="990033"/>
                <w:sz w:val="32"/>
                <w:szCs w:val="21"/>
                <w:lang w:val="en-US"/>
              </w:rPr>
              <w:t>T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265A55" w:rsidP="0008126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>Quadri Automatici di Rifasamento</w:t>
            </w:r>
            <w:r w:rsidR="00D3709D">
              <w:rPr>
                <w:rFonts w:ascii="Leelawadee" w:hAnsi="Leelawadee" w:cs="Leelawadee"/>
                <w:b/>
                <w:color w:val="404040"/>
                <w:szCs w:val="18"/>
              </w:rPr>
              <w:t xml:space="preserve"> </w:t>
            </w:r>
            <w:proofErr w:type="gramStart"/>
            <w:r w:rsidR="00D3709D">
              <w:rPr>
                <w:rFonts w:ascii="Leelawadee" w:hAnsi="Leelawadee" w:cs="Leelawadee"/>
                <w:b/>
                <w:color w:val="404040"/>
                <w:szCs w:val="18"/>
              </w:rPr>
              <w:t>ad</w:t>
            </w:r>
            <w:proofErr w:type="gramEnd"/>
            <w:r w:rsidR="00D3709D">
              <w:rPr>
                <w:rFonts w:ascii="Leelawadee" w:hAnsi="Leelawadee" w:cs="Leelawadee"/>
                <w:b/>
                <w:color w:val="404040"/>
                <w:szCs w:val="18"/>
              </w:rPr>
              <w:t xml:space="preserve"> inserzione statica</w:t>
            </w: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 xml:space="preserve">con Reattanze di Filtro 189 Hz 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per reti con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alto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 contenuto armonico (THDi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max 80 %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F76D8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TL</w:t>
            </w:r>
            <w:r w:rsidR="00081269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F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G</w:t>
            </w:r>
            <w:r w:rsidR="00D3709D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48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F76D85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8C5BB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(8h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410CED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53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≤ 25 %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7C147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Batterie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400V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)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/ Gradini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Batterie </w:t>
            </w:r>
            <w:r w:rsidR="007C1479"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/ Gradin</w:t>
            </w: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i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t xml:space="preserve">- 75 0 utomatico di Rifasamento 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3E174E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Gas inerte (Azoto)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“totally </w:t>
            </w:r>
            <w:proofErr w:type="gramStart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dry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type”,</w:t>
            </w:r>
            <w:r w:rsidR="003E174E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48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 Serie MKP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4</w:t>
            </w:r>
            <w:r w:rsidR="003E174E">
              <w:rPr>
                <w:rFonts w:ascii="Leelawadee" w:hAnsi="Leelawadee" w:cs="Leelawadee"/>
                <w:color w:val="404040"/>
                <w:sz w:val="18"/>
                <w:szCs w:val="18"/>
              </w:rPr>
              <w:t>8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0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G,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sovrappressione, vita attesa &gt; 150.000 ore</w:t>
            </w:r>
          </w:p>
        </w:tc>
      </w:tr>
      <w:tr w:rsidR="00081269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81269" w:rsidRPr="005414CF" w:rsidRDefault="00081269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Reattanze di Filtro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81269" w:rsidRPr="00081269" w:rsidRDefault="00081269" w:rsidP="0008126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Realizzate in rame/alluminio con lamierino a cristalli orientati, poste in serie fra il contattore 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ed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banco di condensatori garantiscono 2 funzioni :</w:t>
            </w:r>
          </w:p>
          <w:p w:rsidR="00081269" w:rsidRPr="00081269" w:rsidRDefault="00081269" w:rsidP="00081269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limitare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picco di corrente all’inserzione dei condensatori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.</w:t>
            </w:r>
          </w:p>
          <w:p w:rsidR="00081269" w:rsidRDefault="00081269" w:rsidP="00081269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accoppiamento con i condensatori formare un filtro il cui accordo sia 189 Hz. ( standard per la 5° armonica )</w:t>
            </w:r>
          </w:p>
          <w:p w:rsidR="00081269" w:rsidRPr="00081269" w:rsidRDefault="00081269" w:rsidP="00081269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inearità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1,8 Ip / In, materiali in classe H, sovratemperatura di funzionamento : 60°C, complete di sonda termica per sgancio batteria in caso di sovratemperatura.</w:t>
            </w:r>
          </w:p>
        </w:tc>
      </w:tr>
      <w:tr w:rsidR="005414CF" w:rsidRPr="0056496B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Inserzione 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6496B" w:rsidRDefault="0056496B" w:rsidP="0056496B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6496B">
              <w:rPr>
                <w:rFonts w:ascii="Leelawadee" w:hAnsi="Leelawadee" w:cs="Leelawadee"/>
                <w:color w:val="404040"/>
                <w:sz w:val="18"/>
                <w:szCs w:val="18"/>
              </w:rPr>
              <w:t>Il dispositivo per l'inserzione delle batterie di condensatori è di tipo elettronico a Moduli Tiristori Tripolari con capacità di inserire e disinserire</w:t>
            </w:r>
            <w:proofErr w:type="gramStart"/>
            <w:r w:rsidRPr="0056496B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6496B">
              <w:rPr>
                <w:rFonts w:ascii="Leelawadee" w:hAnsi="Leelawadee" w:cs="Leelawadee"/>
                <w:color w:val="404040"/>
                <w:sz w:val="18"/>
                <w:szCs w:val="18"/>
              </w:rPr>
              <w:t>i condensatori al passaggio per lo zero della tensione (tecnica definita dello "Zero Crossing").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di Potenza Reattiva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Automatico di Rifasamento a Microprocessore Serie PCR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per la misurazione di tensione, corrente, potenza reattiva, fattore di potenza medio settimanale, tasso di distorsione armonica della corrente sui condensatori, temperatura interna del quadro,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completo di Display per segnalazione di: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line="240" w:lineRule="auto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Stato di ogni singola batteria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Fattore di potenza induttivo/capacitivo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RMS Tensione e Corrente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Sovracorrente condensatori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Sovratemperatura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Contenuto Armonico THD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Dispositivo AUT / MAN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Protezioni per sovracorrente, sovratensione e sovratemperatura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Serie OT, dotato di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manovra/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E91076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Ventilazione Forzata, realizzata tramite Ventilatore e Termostato collegati con il Regolatore per segnalazione allarme e sgancio contattori in caso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sovratemperatura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6496B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Armadio in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lamiera metallica verniciata con polveri ep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ossidiche, grado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protezione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IP31 esterno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colore RAL7035, ingresso cavi dal basso. 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 disposizione interna del quadro sarà realizzata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in Rack Estraibili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</w:t>
            </w:r>
            <w:r w:rsidR="0056496B"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attraverso barratura in alluminio in base alle tipologie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: CEI EN 61921, CEI EN 61439-1</w:t>
            </w:r>
            <w:proofErr w:type="gramEnd"/>
          </w:p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Norme di riferimento per i Condensatori: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  <w:bookmarkStart w:id="0" w:name="_GoBack"/>
      <w:bookmarkEnd w:id="0"/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56496B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53E4952"/>
    <w:multiLevelType w:val="hybridMultilevel"/>
    <w:tmpl w:val="265618CA"/>
    <w:lvl w:ilvl="0" w:tplc="2D7404EC">
      <w:numFmt w:val="bullet"/>
      <w:lvlText w:val="-"/>
      <w:lvlJc w:val="left"/>
      <w:pPr>
        <w:ind w:left="720" w:hanging="360"/>
      </w:pPr>
      <w:rPr>
        <w:rFonts w:ascii="Leelawadee" w:eastAsia="Times New Roman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1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2"/>
  </w:num>
  <w:num w:numId="4">
    <w:abstractNumId w:val="8"/>
  </w:num>
  <w:num w:numId="5">
    <w:abstractNumId w:val="1"/>
  </w:num>
  <w:num w:numId="6">
    <w:abstractNumId w:val="18"/>
  </w:num>
  <w:num w:numId="7">
    <w:abstractNumId w:val="16"/>
  </w:num>
  <w:num w:numId="8">
    <w:abstractNumId w:val="19"/>
  </w:num>
  <w:num w:numId="9">
    <w:abstractNumId w:val="9"/>
  </w:num>
  <w:num w:numId="10">
    <w:abstractNumId w:val="11"/>
  </w:num>
  <w:num w:numId="11">
    <w:abstractNumId w:val="23"/>
  </w:num>
  <w:num w:numId="12">
    <w:abstractNumId w:val="13"/>
  </w:num>
  <w:num w:numId="13">
    <w:abstractNumId w:val="24"/>
  </w:num>
  <w:num w:numId="14">
    <w:abstractNumId w:val="4"/>
  </w:num>
  <w:num w:numId="15">
    <w:abstractNumId w:val="6"/>
  </w:num>
  <w:num w:numId="16">
    <w:abstractNumId w:val="12"/>
  </w:num>
  <w:num w:numId="17">
    <w:abstractNumId w:val="3"/>
  </w:num>
  <w:num w:numId="18">
    <w:abstractNumId w:val="10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5"/>
  </w:num>
  <w:num w:numId="24">
    <w:abstractNumId w:val="28"/>
  </w:num>
  <w:num w:numId="25">
    <w:abstractNumId w:val="22"/>
  </w:num>
  <w:num w:numId="26">
    <w:abstractNumId w:val="25"/>
  </w:num>
  <w:num w:numId="27">
    <w:abstractNumId w:val="14"/>
  </w:num>
  <w:num w:numId="28">
    <w:abstractNumId w:val="17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1269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E174E"/>
    <w:rsid w:val="003F2773"/>
    <w:rsid w:val="003F4562"/>
    <w:rsid w:val="004040E1"/>
    <w:rsid w:val="00410CED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496B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5832"/>
    <w:rsid w:val="009273B5"/>
    <w:rsid w:val="00927D94"/>
    <w:rsid w:val="009324D5"/>
    <w:rsid w:val="009356A6"/>
    <w:rsid w:val="0095243A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487C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43D1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3709D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1076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6D85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8DEC1-EF3E-4F38-95FC-30C1AADE4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442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3152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43</cp:revision>
  <cp:lastPrinted>2015-09-07T08:02:00Z</cp:lastPrinted>
  <dcterms:created xsi:type="dcterms:W3CDTF">2015-08-27T07:49:00Z</dcterms:created>
  <dcterms:modified xsi:type="dcterms:W3CDTF">2015-11-05T17:08:00Z</dcterms:modified>
</cp:coreProperties>
</file>